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5F94" w14:textId="77777777" w:rsidR="00377E88" w:rsidRPr="00266852" w:rsidRDefault="002C7F1C" w:rsidP="002C7F1C">
      <w:pPr>
        <w:tabs>
          <w:tab w:val="left" w:pos="567"/>
        </w:tabs>
        <w:jc w:val="center"/>
        <w:rPr>
          <w:b/>
          <w:sz w:val="22"/>
          <w:szCs w:val="22"/>
        </w:rPr>
      </w:pPr>
      <w:r w:rsidRPr="00266852">
        <w:rPr>
          <w:b/>
          <w:sz w:val="22"/>
          <w:szCs w:val="22"/>
        </w:rPr>
        <w:t>I Sacramentari</w:t>
      </w:r>
    </w:p>
    <w:p w14:paraId="62145926" w14:textId="77777777" w:rsidR="00377E88" w:rsidRPr="00266852" w:rsidRDefault="00377E88">
      <w:pPr>
        <w:tabs>
          <w:tab w:val="left" w:pos="567"/>
        </w:tabs>
        <w:jc w:val="center"/>
        <w:rPr>
          <w:sz w:val="22"/>
          <w:szCs w:val="22"/>
        </w:rPr>
      </w:pPr>
    </w:p>
    <w:p w14:paraId="41AD0356" w14:textId="77777777" w:rsidR="00377E88" w:rsidRPr="00266852" w:rsidRDefault="00377E88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266852">
        <w:rPr>
          <w:sz w:val="22"/>
          <w:szCs w:val="22"/>
        </w:rPr>
        <w:t xml:space="preserve"> </w:t>
      </w:r>
    </w:p>
    <w:p w14:paraId="2565CFBD" w14:textId="77777777" w:rsidR="00377E88" w:rsidRPr="00266852" w:rsidRDefault="002C7F1C" w:rsidP="002C7F1C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266852">
        <w:rPr>
          <w:sz w:val="22"/>
          <w:szCs w:val="22"/>
        </w:rPr>
        <w:t xml:space="preserve">Nell’alto Medioevo il </w:t>
      </w:r>
      <w:r w:rsidRPr="00266852">
        <w:rPr>
          <w:i/>
          <w:sz w:val="22"/>
          <w:szCs w:val="22"/>
        </w:rPr>
        <w:t>Sacramentarium</w:t>
      </w:r>
      <w:r w:rsidRPr="00266852">
        <w:rPr>
          <w:sz w:val="22"/>
          <w:szCs w:val="22"/>
        </w:rPr>
        <w:t xml:space="preserve"> o </w:t>
      </w:r>
      <w:r w:rsidRPr="00266852">
        <w:rPr>
          <w:i/>
          <w:sz w:val="22"/>
          <w:szCs w:val="22"/>
        </w:rPr>
        <w:t xml:space="preserve">Liber Sacramentorum </w:t>
      </w:r>
      <w:r w:rsidRPr="00266852">
        <w:rPr>
          <w:sz w:val="22"/>
          <w:szCs w:val="22"/>
        </w:rPr>
        <w:t>era il libro che conteneva</w:t>
      </w:r>
      <w:r w:rsidR="00266852">
        <w:rPr>
          <w:sz w:val="22"/>
          <w:szCs w:val="22"/>
        </w:rPr>
        <w:t xml:space="preserve"> i formulari recitati dal celeb</w:t>
      </w:r>
      <w:r w:rsidRPr="00266852">
        <w:rPr>
          <w:sz w:val="22"/>
          <w:szCs w:val="22"/>
        </w:rPr>
        <w:t xml:space="preserve">rante (vescovo o sacerdote) nella celebrazione della messa e nell’amministrazione dei sacramenti: colletta, orazione sulle offerte, orazione dopo la comunione, prefazio, canone, orazioni e formule varie. </w:t>
      </w:r>
    </w:p>
    <w:p w14:paraId="4DDF42CD" w14:textId="77777777" w:rsidR="002C7F1C" w:rsidRPr="00266852" w:rsidRDefault="002C7F1C" w:rsidP="002C7F1C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266852">
        <w:rPr>
          <w:sz w:val="22"/>
          <w:szCs w:val="22"/>
        </w:rPr>
        <w:t xml:space="preserve">C’erano poi altri libri: il lezionario (per i lettori), l’antifonale (per i cantori), il calendario con l’elenco delle feste e il martirologio con l’indicazione delle memorie dei martiri. </w:t>
      </w:r>
    </w:p>
    <w:p w14:paraId="091294B5" w14:textId="77777777" w:rsidR="002C7F1C" w:rsidRPr="00266852" w:rsidRDefault="002C7F1C" w:rsidP="002C7F1C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266852">
        <w:rPr>
          <w:sz w:val="22"/>
          <w:szCs w:val="22"/>
        </w:rPr>
        <w:t xml:space="preserve">Agli inizi del secondo millennio prevalse l’uso </w:t>
      </w:r>
      <w:r w:rsidR="003D70A9" w:rsidRPr="00266852">
        <w:rPr>
          <w:sz w:val="22"/>
          <w:szCs w:val="22"/>
        </w:rPr>
        <w:t>di riunire in un unico libro tutte le parti della messa: nacque il messale, anche perché col diffondersi delle messe private, il celebra</w:t>
      </w:r>
      <w:r w:rsidR="00266852">
        <w:rPr>
          <w:sz w:val="22"/>
          <w:szCs w:val="22"/>
        </w:rPr>
        <w:t>nte recitava t</w:t>
      </w:r>
      <w:r w:rsidR="003D70A9" w:rsidRPr="00266852">
        <w:rPr>
          <w:sz w:val="22"/>
          <w:szCs w:val="22"/>
        </w:rPr>
        <w:t xml:space="preserve">utte le parti della messa (preghiere, letture, antifone...). </w:t>
      </w:r>
    </w:p>
    <w:p w14:paraId="28DF9C40" w14:textId="77777777" w:rsidR="003D70A9" w:rsidRPr="00266852" w:rsidRDefault="003D70A9" w:rsidP="002C7F1C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266852">
        <w:rPr>
          <w:sz w:val="22"/>
          <w:szCs w:val="22"/>
        </w:rPr>
        <w:t xml:space="preserve">Oggi i principali libri liturgici sono il messale e il lezionario. </w:t>
      </w:r>
    </w:p>
    <w:p w14:paraId="257A1B71" w14:textId="77777777" w:rsidR="003D70A9" w:rsidRPr="00266852" w:rsidRDefault="003D70A9" w:rsidP="002C7F1C">
      <w:pPr>
        <w:tabs>
          <w:tab w:val="left" w:pos="567"/>
        </w:tabs>
        <w:ind w:firstLine="567"/>
        <w:jc w:val="both"/>
        <w:rPr>
          <w:sz w:val="22"/>
          <w:szCs w:val="22"/>
        </w:rPr>
      </w:pPr>
    </w:p>
    <w:p w14:paraId="587B8FDF" w14:textId="77777777" w:rsidR="003D70A9" w:rsidRPr="00266852" w:rsidRDefault="003D70A9" w:rsidP="002C7F1C">
      <w:pPr>
        <w:tabs>
          <w:tab w:val="left" w:pos="567"/>
        </w:tabs>
        <w:ind w:firstLine="567"/>
        <w:jc w:val="both"/>
        <w:rPr>
          <w:b/>
          <w:sz w:val="22"/>
          <w:szCs w:val="22"/>
        </w:rPr>
      </w:pPr>
      <w:r w:rsidRPr="00266852">
        <w:rPr>
          <w:b/>
          <w:sz w:val="22"/>
          <w:szCs w:val="22"/>
        </w:rPr>
        <w:t>I principali Sacramentari della liturgia romana</w:t>
      </w:r>
    </w:p>
    <w:p w14:paraId="174B4557" w14:textId="77777777" w:rsidR="003D70A9" w:rsidRPr="00266852" w:rsidRDefault="003D70A9" w:rsidP="002C7F1C">
      <w:pPr>
        <w:tabs>
          <w:tab w:val="left" w:pos="567"/>
        </w:tabs>
        <w:ind w:firstLine="567"/>
        <w:jc w:val="both"/>
        <w:rPr>
          <w:b/>
          <w:sz w:val="22"/>
          <w:szCs w:val="22"/>
        </w:rPr>
      </w:pPr>
    </w:p>
    <w:p w14:paraId="3DAFE097" w14:textId="77777777" w:rsidR="003D70A9" w:rsidRPr="00266852" w:rsidRDefault="003D70A9" w:rsidP="002C7F1C">
      <w:pPr>
        <w:tabs>
          <w:tab w:val="left" w:pos="567"/>
        </w:tabs>
        <w:ind w:firstLine="567"/>
        <w:jc w:val="both"/>
        <w:rPr>
          <w:b/>
          <w:sz w:val="22"/>
          <w:szCs w:val="22"/>
        </w:rPr>
      </w:pPr>
      <w:r w:rsidRPr="00266852">
        <w:rPr>
          <w:b/>
          <w:sz w:val="22"/>
          <w:szCs w:val="22"/>
        </w:rPr>
        <w:t>1</w:t>
      </w:r>
      <w:r w:rsidR="00764680" w:rsidRPr="00266852">
        <w:rPr>
          <w:b/>
          <w:sz w:val="22"/>
          <w:szCs w:val="22"/>
        </w:rPr>
        <w:t>.</w:t>
      </w:r>
      <w:r w:rsidRPr="00266852">
        <w:rPr>
          <w:b/>
          <w:sz w:val="22"/>
          <w:szCs w:val="22"/>
        </w:rPr>
        <w:t xml:space="preserve"> </w:t>
      </w:r>
      <w:r w:rsidRPr="00266852">
        <w:rPr>
          <w:b/>
          <w:i/>
          <w:sz w:val="22"/>
          <w:szCs w:val="22"/>
        </w:rPr>
        <w:t>Sacramentarium Veronense</w:t>
      </w:r>
      <w:r w:rsidRPr="00266852">
        <w:rPr>
          <w:b/>
          <w:sz w:val="22"/>
          <w:szCs w:val="22"/>
        </w:rPr>
        <w:t xml:space="preserve"> (già detto </w:t>
      </w:r>
      <w:r w:rsidRPr="00266852">
        <w:rPr>
          <w:b/>
          <w:i/>
          <w:sz w:val="22"/>
          <w:szCs w:val="22"/>
        </w:rPr>
        <w:t>Leonianum</w:t>
      </w:r>
      <w:r w:rsidRPr="00266852">
        <w:rPr>
          <w:b/>
          <w:sz w:val="22"/>
          <w:szCs w:val="22"/>
        </w:rPr>
        <w:t>)</w:t>
      </w:r>
    </w:p>
    <w:p w14:paraId="1F47CD5C" w14:textId="77777777" w:rsidR="003D70A9" w:rsidRPr="00266852" w:rsidRDefault="003D70A9" w:rsidP="002C7F1C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266852">
        <w:rPr>
          <w:sz w:val="22"/>
          <w:szCs w:val="22"/>
        </w:rPr>
        <w:t>Composto verso il 561-574. Scoperto nella Biblioteca Capitolare di Verona nel 1713. Bianchini, che ne curò l’edizione nel 1735</w:t>
      </w:r>
      <w:r w:rsidR="00DE486F" w:rsidRPr="00266852">
        <w:rPr>
          <w:sz w:val="22"/>
          <w:szCs w:val="22"/>
        </w:rPr>
        <w:t>, lo attribuì a Leone Magno</w:t>
      </w:r>
      <w:r w:rsidR="00594F31">
        <w:rPr>
          <w:sz w:val="22"/>
          <w:szCs w:val="22"/>
        </w:rPr>
        <w:t xml:space="preserve"> (440-461)</w:t>
      </w:r>
      <w:r w:rsidR="00DE486F" w:rsidRPr="00266852">
        <w:rPr>
          <w:sz w:val="22"/>
          <w:szCs w:val="22"/>
        </w:rPr>
        <w:t xml:space="preserve">, che però è l’autore solo di alcuni testi, non di tutto il libro e di tutte le formule; varie parti sono attribuibili a papi successivi. </w:t>
      </w:r>
    </w:p>
    <w:p w14:paraId="209E075C" w14:textId="77777777" w:rsidR="00DE486F" w:rsidRPr="00266852" w:rsidRDefault="00DE486F" w:rsidP="002C7F1C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266852">
        <w:rPr>
          <w:sz w:val="22"/>
          <w:szCs w:val="22"/>
        </w:rPr>
        <w:t>E’</w:t>
      </w:r>
      <w:r w:rsidR="00266852">
        <w:rPr>
          <w:sz w:val="22"/>
          <w:szCs w:val="22"/>
        </w:rPr>
        <w:t xml:space="preserve"> un libro contenente</w:t>
      </w:r>
      <w:r w:rsidRPr="00266852">
        <w:rPr>
          <w:sz w:val="22"/>
          <w:szCs w:val="22"/>
        </w:rPr>
        <w:t xml:space="preserve"> le parti eucologiche della messa per la comunità romana. </w:t>
      </w:r>
    </w:p>
    <w:p w14:paraId="698D0C17" w14:textId="77777777" w:rsidR="00764680" w:rsidRPr="00266852" w:rsidRDefault="00764680" w:rsidP="002C7F1C">
      <w:pPr>
        <w:tabs>
          <w:tab w:val="left" w:pos="567"/>
        </w:tabs>
        <w:ind w:firstLine="567"/>
        <w:jc w:val="both"/>
        <w:rPr>
          <w:sz w:val="22"/>
          <w:szCs w:val="22"/>
        </w:rPr>
      </w:pPr>
    </w:p>
    <w:p w14:paraId="6315CCFC" w14:textId="77777777" w:rsidR="00764680" w:rsidRPr="00266852" w:rsidRDefault="00764680" w:rsidP="00764680">
      <w:pPr>
        <w:tabs>
          <w:tab w:val="left" w:pos="567"/>
        </w:tabs>
        <w:ind w:firstLine="567"/>
        <w:jc w:val="both"/>
        <w:rPr>
          <w:b/>
          <w:sz w:val="22"/>
          <w:szCs w:val="22"/>
        </w:rPr>
      </w:pPr>
      <w:r w:rsidRPr="00266852">
        <w:rPr>
          <w:b/>
          <w:sz w:val="22"/>
          <w:szCs w:val="22"/>
        </w:rPr>
        <w:t xml:space="preserve">2. </w:t>
      </w:r>
      <w:r w:rsidRPr="00266852">
        <w:rPr>
          <w:b/>
          <w:i/>
          <w:sz w:val="22"/>
          <w:szCs w:val="22"/>
        </w:rPr>
        <w:t>Sacramentarium Gelasianum</w:t>
      </w:r>
    </w:p>
    <w:p w14:paraId="5665B856" w14:textId="77777777" w:rsidR="00764680" w:rsidRPr="00266852" w:rsidRDefault="00764680" w:rsidP="002C7F1C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266852">
        <w:rPr>
          <w:sz w:val="22"/>
          <w:szCs w:val="22"/>
        </w:rPr>
        <w:t xml:space="preserve">Fu probabilmente composto nel secolo VII. Il nome deriva dal fatto che Ludovico Antonio Muratori </w:t>
      </w:r>
      <w:r w:rsidR="00103A42" w:rsidRPr="00266852">
        <w:rPr>
          <w:sz w:val="22"/>
          <w:szCs w:val="22"/>
        </w:rPr>
        <w:t xml:space="preserve">(1672-1750) </w:t>
      </w:r>
      <w:r w:rsidRPr="00266852">
        <w:rPr>
          <w:sz w:val="22"/>
          <w:szCs w:val="22"/>
        </w:rPr>
        <w:t>lo aveva attribuito a papa Gelasio (492-496)</w:t>
      </w:r>
      <w:r w:rsidR="00103A42" w:rsidRPr="00266852">
        <w:rPr>
          <w:sz w:val="22"/>
          <w:szCs w:val="22"/>
        </w:rPr>
        <w:t xml:space="preserve">. Il manoscritto si conserva nella Biblioteca Apostolica Vaticana. </w:t>
      </w:r>
    </w:p>
    <w:p w14:paraId="175D9E73" w14:textId="77777777" w:rsidR="00103A42" w:rsidRPr="00266852" w:rsidRDefault="00103A42" w:rsidP="002C7F1C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266852">
        <w:rPr>
          <w:sz w:val="22"/>
          <w:szCs w:val="22"/>
        </w:rPr>
        <w:t xml:space="preserve">Questo Sacramentario veniva usato a Roma nelle chiese presbiterali (parrocchie), mentre il Sacramentario Gregoriano era utilizzato dal papa al Laterano e nelle celebrazioni stazionali. </w:t>
      </w:r>
    </w:p>
    <w:p w14:paraId="7D946822" w14:textId="77777777" w:rsidR="00103A42" w:rsidRPr="00266852" w:rsidRDefault="00103A42" w:rsidP="002C7F1C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266852">
        <w:rPr>
          <w:sz w:val="22"/>
          <w:szCs w:val="22"/>
        </w:rPr>
        <w:t>Si diffuse in Gallia, contribuendo alla “romanizzazione” della liturgia gallicana, ma anche subendone influssi e modifiche.</w:t>
      </w:r>
    </w:p>
    <w:p w14:paraId="416BCFB2" w14:textId="77777777" w:rsidR="00103A42" w:rsidRPr="00266852" w:rsidRDefault="00103A42" w:rsidP="002C7F1C">
      <w:pPr>
        <w:tabs>
          <w:tab w:val="left" w:pos="567"/>
        </w:tabs>
        <w:ind w:firstLine="567"/>
        <w:jc w:val="both"/>
        <w:rPr>
          <w:sz w:val="22"/>
          <w:szCs w:val="22"/>
        </w:rPr>
      </w:pPr>
    </w:p>
    <w:p w14:paraId="600BB681" w14:textId="77777777" w:rsidR="00103A42" w:rsidRPr="00266852" w:rsidRDefault="00103A42" w:rsidP="00103A42">
      <w:pPr>
        <w:tabs>
          <w:tab w:val="left" w:pos="567"/>
        </w:tabs>
        <w:ind w:firstLine="567"/>
        <w:jc w:val="both"/>
        <w:rPr>
          <w:b/>
          <w:sz w:val="22"/>
          <w:szCs w:val="22"/>
        </w:rPr>
      </w:pPr>
      <w:r w:rsidRPr="00266852">
        <w:rPr>
          <w:b/>
          <w:sz w:val="22"/>
          <w:szCs w:val="22"/>
        </w:rPr>
        <w:t xml:space="preserve">3. </w:t>
      </w:r>
      <w:r w:rsidRPr="00266852">
        <w:rPr>
          <w:b/>
          <w:i/>
          <w:sz w:val="22"/>
          <w:szCs w:val="22"/>
        </w:rPr>
        <w:t>Sacramentarium Gregorianum</w:t>
      </w:r>
    </w:p>
    <w:p w14:paraId="3C6560B5" w14:textId="77777777" w:rsidR="00103A42" w:rsidRPr="00266852" w:rsidRDefault="00103A42" w:rsidP="002C7F1C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266852">
        <w:rPr>
          <w:sz w:val="22"/>
          <w:szCs w:val="22"/>
        </w:rPr>
        <w:t>Composto sotto papa Onorio I (625-638). Contiene tuttavia alcune parti (orazioni, testi di nuove messe...) risalenti a Gregorio Magno (590-604)</w:t>
      </w:r>
      <w:r w:rsidR="00E02BCF" w:rsidRPr="00266852">
        <w:rPr>
          <w:sz w:val="22"/>
          <w:szCs w:val="22"/>
        </w:rPr>
        <w:t xml:space="preserve">. Inizialmente era destinato all’uso papale, ma fu poi adattato per essere utilizzato nelle parrocchie. Subì ulteriori </w:t>
      </w:r>
      <w:r w:rsidR="00A468EE">
        <w:rPr>
          <w:sz w:val="22"/>
          <w:szCs w:val="22"/>
        </w:rPr>
        <w:t xml:space="preserve">modifiche </w:t>
      </w:r>
      <w:r w:rsidR="00E02BCF" w:rsidRPr="00266852">
        <w:rPr>
          <w:sz w:val="22"/>
          <w:szCs w:val="22"/>
        </w:rPr>
        <w:t xml:space="preserve">all’epoca di Carlo Magno, quando gli fu inviato per servire da libro liturgico tendenzialmente unico, affinché anche la liturgia servisse da elemento unificante del suo regno. </w:t>
      </w:r>
    </w:p>
    <w:p w14:paraId="183BE489" w14:textId="77777777" w:rsidR="00E02BCF" w:rsidRPr="00266852" w:rsidRDefault="00E02BCF" w:rsidP="002C7F1C">
      <w:pPr>
        <w:tabs>
          <w:tab w:val="left" w:pos="567"/>
        </w:tabs>
        <w:ind w:firstLine="567"/>
        <w:jc w:val="both"/>
        <w:rPr>
          <w:sz w:val="22"/>
          <w:szCs w:val="22"/>
        </w:rPr>
      </w:pPr>
    </w:p>
    <w:p w14:paraId="4CBB1B02" w14:textId="77777777" w:rsidR="00E02BCF" w:rsidRPr="00266852" w:rsidRDefault="00E02BCF" w:rsidP="00E02BCF">
      <w:pPr>
        <w:tabs>
          <w:tab w:val="left" w:pos="567"/>
        </w:tabs>
        <w:jc w:val="center"/>
        <w:rPr>
          <w:b/>
          <w:sz w:val="22"/>
          <w:szCs w:val="22"/>
        </w:rPr>
      </w:pPr>
      <w:r w:rsidRPr="00266852">
        <w:rPr>
          <w:b/>
          <w:sz w:val="22"/>
          <w:szCs w:val="22"/>
        </w:rPr>
        <w:t>Il canto gregoriano</w:t>
      </w:r>
    </w:p>
    <w:p w14:paraId="41080141" w14:textId="77777777" w:rsidR="00E02BCF" w:rsidRPr="00266852" w:rsidRDefault="00E02BCF" w:rsidP="002C7F1C">
      <w:pPr>
        <w:tabs>
          <w:tab w:val="left" w:pos="567"/>
        </w:tabs>
        <w:ind w:firstLine="567"/>
        <w:jc w:val="both"/>
        <w:rPr>
          <w:b/>
          <w:sz w:val="22"/>
          <w:szCs w:val="22"/>
        </w:rPr>
      </w:pPr>
    </w:p>
    <w:p w14:paraId="6B24F92C" w14:textId="77777777" w:rsidR="00E02BCF" w:rsidRPr="00266852" w:rsidRDefault="00E02BCF" w:rsidP="002C7F1C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266852">
        <w:rPr>
          <w:sz w:val="22"/>
          <w:szCs w:val="22"/>
        </w:rPr>
        <w:t xml:space="preserve">Tra i libri liturgici c’era anche l’Antifonario o Antifonale, che conteneva i canti eseguiti dalla </w:t>
      </w:r>
      <w:r w:rsidRPr="00266852">
        <w:rPr>
          <w:i/>
          <w:sz w:val="22"/>
          <w:szCs w:val="22"/>
        </w:rPr>
        <w:t>schola cantorum</w:t>
      </w:r>
      <w:r w:rsidRPr="00266852">
        <w:rPr>
          <w:sz w:val="22"/>
          <w:szCs w:val="22"/>
        </w:rPr>
        <w:t xml:space="preserve"> (antifona all’introito, salmo responsoriale, </w:t>
      </w:r>
      <w:r w:rsidR="00266852">
        <w:rPr>
          <w:sz w:val="22"/>
          <w:szCs w:val="22"/>
        </w:rPr>
        <w:t>allelu</w:t>
      </w:r>
      <w:r w:rsidRPr="00266852">
        <w:rPr>
          <w:sz w:val="22"/>
          <w:szCs w:val="22"/>
        </w:rPr>
        <w:t>ia, antifona all’</w:t>
      </w:r>
      <w:r w:rsidR="00266852">
        <w:rPr>
          <w:sz w:val="22"/>
          <w:szCs w:val="22"/>
        </w:rPr>
        <w:t>offertorio, antifona al</w:t>
      </w:r>
      <w:r w:rsidRPr="00266852">
        <w:rPr>
          <w:sz w:val="22"/>
          <w:szCs w:val="22"/>
        </w:rPr>
        <w:t>l</w:t>
      </w:r>
      <w:r w:rsidR="00266852">
        <w:rPr>
          <w:sz w:val="22"/>
          <w:szCs w:val="22"/>
        </w:rPr>
        <w:t>a</w:t>
      </w:r>
      <w:r w:rsidRPr="00266852">
        <w:rPr>
          <w:sz w:val="22"/>
          <w:szCs w:val="22"/>
        </w:rPr>
        <w:t xml:space="preserve"> comunio</w:t>
      </w:r>
      <w:r w:rsidR="00266852">
        <w:rPr>
          <w:sz w:val="22"/>
          <w:szCs w:val="22"/>
        </w:rPr>
        <w:t>n</w:t>
      </w:r>
      <w:r w:rsidRPr="00266852">
        <w:rPr>
          <w:sz w:val="22"/>
          <w:szCs w:val="22"/>
        </w:rPr>
        <w:t xml:space="preserve">e, con i versetti relativi). </w:t>
      </w:r>
    </w:p>
    <w:p w14:paraId="0477EFAB" w14:textId="77777777" w:rsidR="00266852" w:rsidRPr="00266852" w:rsidRDefault="00E02BCF" w:rsidP="002C7F1C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266852">
        <w:rPr>
          <w:sz w:val="22"/>
          <w:szCs w:val="22"/>
        </w:rPr>
        <w:t xml:space="preserve">Gregorio Magno, come altri papi prima di lui, si interessò dei testi dell’antifonario, sostenne, riorganizzò e finanziò la </w:t>
      </w:r>
      <w:r w:rsidRPr="00266852">
        <w:rPr>
          <w:i/>
          <w:sz w:val="22"/>
          <w:szCs w:val="22"/>
        </w:rPr>
        <w:t>schola cantorum</w:t>
      </w:r>
      <w:r w:rsidRPr="00266852">
        <w:rPr>
          <w:sz w:val="22"/>
          <w:szCs w:val="22"/>
        </w:rPr>
        <w:t xml:space="preserve">, ma non compose le melodie del canto cosiddetto “gregoriano”. </w:t>
      </w:r>
    </w:p>
    <w:p w14:paraId="08322F24" w14:textId="77777777" w:rsidR="00E02BCF" w:rsidRPr="00E02BCF" w:rsidRDefault="00266852" w:rsidP="00266852">
      <w:pPr>
        <w:tabs>
          <w:tab w:val="left" w:pos="567"/>
        </w:tabs>
        <w:ind w:firstLine="567"/>
        <w:jc w:val="both"/>
        <w:rPr>
          <w:sz w:val="24"/>
        </w:rPr>
      </w:pPr>
      <w:r w:rsidRPr="00266852">
        <w:rPr>
          <w:sz w:val="22"/>
          <w:szCs w:val="22"/>
        </w:rPr>
        <w:t>Tali melodie sono geniali creazioni di anonimi artisti dei secoli VIII e IX, ma la tradizione leggendaria le ha attribuite al grande papa romano, il quale tuttavia si interessò dell’organizzazione del canto all’interno della liturgia. Forse si può pensare che egli abbia ritoccato e rifuso certe melodie, data la sua esperienza nel canto monastico.</w:t>
      </w:r>
    </w:p>
    <w:sectPr w:rsidR="00E02BCF" w:rsidRPr="00E02BCF">
      <w:headerReference w:type="default" r:id="rId7"/>
      <w:pgSz w:w="11906" w:h="16838"/>
      <w:pgMar w:top="1702" w:right="1700" w:bottom="156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9DF8" w14:textId="77777777" w:rsidR="00001CF9" w:rsidRDefault="00001CF9">
      <w:r>
        <w:separator/>
      </w:r>
    </w:p>
  </w:endnote>
  <w:endnote w:type="continuationSeparator" w:id="0">
    <w:p w14:paraId="013CCAC5" w14:textId="77777777" w:rsidR="00001CF9" w:rsidRDefault="0000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B4828" w14:textId="77777777" w:rsidR="00001CF9" w:rsidRDefault="00001CF9">
      <w:r>
        <w:separator/>
      </w:r>
    </w:p>
  </w:footnote>
  <w:footnote w:type="continuationSeparator" w:id="0">
    <w:p w14:paraId="160FC8C1" w14:textId="77777777" w:rsidR="00001CF9" w:rsidRDefault="00001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1F0C" w14:textId="77777777" w:rsidR="00377E88" w:rsidRDefault="00377E88">
    <w:pPr>
      <w:pStyle w:val="Intestazione"/>
      <w:pBdr>
        <w:bottom w:val="single" w:sz="4" w:space="1" w:color="auto"/>
      </w:pBdr>
      <w:jc w:val="right"/>
    </w:pPr>
    <w:r>
      <w:t>Patrologia\</w:t>
    </w:r>
    <w:r w:rsidR="002C7F1C">
      <w:t>Sacramentari e canto gregoriano</w:t>
    </w:r>
    <w:r>
      <w:t xml:space="preserve">      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94005E">
      <w:rPr>
        <w:rStyle w:val="Numeropagina"/>
        <w:noProof/>
      </w:rPr>
      <w:t>1</w:t>
    </w:r>
    <w:r>
      <w:rPr>
        <w:rStyle w:val="Numeropagin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97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CD65E4"/>
    <w:multiLevelType w:val="singleLevel"/>
    <w:tmpl w:val="0410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23"/>
    <w:rsid w:val="00001CF9"/>
    <w:rsid w:val="00103A42"/>
    <w:rsid w:val="001251C8"/>
    <w:rsid w:val="00196523"/>
    <w:rsid w:val="001E315D"/>
    <w:rsid w:val="0021600A"/>
    <w:rsid w:val="00266852"/>
    <w:rsid w:val="002B4803"/>
    <w:rsid w:val="002C7F1C"/>
    <w:rsid w:val="00300152"/>
    <w:rsid w:val="00377E88"/>
    <w:rsid w:val="003D70A9"/>
    <w:rsid w:val="00594F31"/>
    <w:rsid w:val="00764680"/>
    <w:rsid w:val="00926A68"/>
    <w:rsid w:val="0094005E"/>
    <w:rsid w:val="009715E4"/>
    <w:rsid w:val="00A349A6"/>
    <w:rsid w:val="00A468EE"/>
    <w:rsid w:val="00C8083C"/>
    <w:rsid w:val="00DB6290"/>
    <w:rsid w:val="00DC5C37"/>
    <w:rsid w:val="00DE486F"/>
    <w:rsid w:val="00DE77E1"/>
    <w:rsid w:val="00E02BCF"/>
    <w:rsid w:val="00E4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B1BD3"/>
  <w15:chartTrackingRefBased/>
  <w15:docId w15:val="{61CE57E3-3E66-4393-B9C0-CBA5A329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itolo">
    <w:name w:val="Title"/>
    <w:basedOn w:val="Normale"/>
    <w:qFormat/>
    <w:pPr>
      <w:tabs>
        <w:tab w:val="left" w:pos="567"/>
      </w:tabs>
      <w:jc w:val="center"/>
    </w:pPr>
    <w:rPr>
      <w:b/>
      <w:sz w:val="24"/>
    </w:rPr>
  </w:style>
  <w:style w:type="paragraph" w:styleId="Rientrocorpodeltesto">
    <w:name w:val="Body Text Indent"/>
    <w:basedOn w:val="Normale"/>
    <w:semiHidden/>
    <w:pPr>
      <w:tabs>
        <w:tab w:val="left" w:pos="567"/>
      </w:tabs>
      <w:ind w:left="567" w:hanging="567"/>
      <w:jc w:val="both"/>
    </w:pPr>
    <w:rPr>
      <w:sz w:val="24"/>
    </w:rPr>
  </w:style>
  <w:style w:type="paragraph" w:styleId="Corpodeltesto">
    <w:name w:val="Corpo del testo"/>
    <w:basedOn w:val="Normale"/>
    <w:semiHidden/>
    <w:pPr>
      <w:tabs>
        <w:tab w:val="left" w:pos="567"/>
      </w:tabs>
      <w:jc w:val="both"/>
    </w:pPr>
    <w:rPr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349A6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349A6"/>
  </w:style>
  <w:style w:type="character" w:styleId="Rimandonotaapidipagina">
    <w:name w:val="footnote reference"/>
    <w:uiPriority w:val="99"/>
    <w:semiHidden/>
    <w:unhideWhenUsed/>
    <w:rsid w:val="00A349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Sec.%20V-X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Sec. V-XI</Template>
  <TotalTime>0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 a Storia del cristianesimo, I, L’antichità</vt:lpstr>
      <vt:lpstr>Note a Storia del cristianesimo, I, L’antichità</vt:lpstr>
    </vt:vector>
  </TitlesOfParts>
  <Company>ISTITUTO SAN PIETRO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a Storia del cristianesimo, I, L’antichità</dc:title>
  <dc:subject/>
  <dc:creator>DON GIOVENALE DOTTA</dc:creator>
  <cp:keywords/>
  <cp:lastModifiedBy>Giovenale Dotta</cp:lastModifiedBy>
  <cp:revision>2</cp:revision>
  <cp:lastPrinted>2000-03-12T16:32:00Z</cp:lastPrinted>
  <dcterms:created xsi:type="dcterms:W3CDTF">2026-01-30T17:50:00Z</dcterms:created>
  <dcterms:modified xsi:type="dcterms:W3CDTF">2026-01-30T17:50:00Z</dcterms:modified>
</cp:coreProperties>
</file>